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BE" w:rsidRDefault="003C4B78">
      <w:pPr>
        <w:ind w:left="6092"/>
      </w:pPr>
      <w:r>
        <w:rPr>
          <w:rFonts w:ascii="Times New Roman" w:hAnsi="Times New Roman" w:cs="Times New Roman"/>
          <w:i/>
          <w:sz w:val="26"/>
          <w:szCs w:val="31"/>
        </w:rPr>
        <w:t xml:space="preserve">Приложение </w:t>
      </w:r>
      <w:r w:rsidR="00B906C4">
        <w:rPr>
          <w:rFonts w:ascii="Times New Roman" w:hAnsi="Times New Roman" w:cs="Times New Roman"/>
          <w:i/>
          <w:sz w:val="26"/>
          <w:szCs w:val="31"/>
        </w:rPr>
        <w:t>4</w:t>
      </w:r>
    </w:p>
    <w:p w:rsidR="002037BE" w:rsidRDefault="003C4B78">
      <w:pPr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2037BE" w:rsidRDefault="003C4B78">
      <w:pPr>
        <w:jc w:val="both"/>
        <w:rPr>
          <w:highlight w:val="white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  <w:highlight w:val="white"/>
        </w:rPr>
        <w:t xml:space="preserve">               от</w:t>
      </w:r>
      <w:r w:rsidR="00B906C4">
        <w:rPr>
          <w:rFonts w:ascii="Times New Roman" w:hAnsi="Times New Roman" w:cs="Times New Roman"/>
          <w:i/>
          <w:sz w:val="26"/>
          <w:szCs w:val="31"/>
          <w:highlight w:val="white"/>
        </w:rPr>
        <w:t xml:space="preserve"> 16 ноября </w:t>
      </w:r>
      <w:r>
        <w:rPr>
          <w:rFonts w:ascii="Times New Roman" w:hAnsi="Times New Roman" w:cs="Times New Roman"/>
          <w:i/>
          <w:sz w:val="26"/>
          <w:szCs w:val="31"/>
          <w:highlight w:val="white"/>
        </w:rPr>
        <w:t>2022 года №</w:t>
      </w:r>
      <w:r w:rsidR="00B906C4">
        <w:t xml:space="preserve"> </w:t>
      </w:r>
      <w:r w:rsidR="00B906C4" w:rsidRPr="00B906C4">
        <w:rPr>
          <w:rFonts w:ascii="Times New Roman" w:hAnsi="Times New Roman" w:cs="Times New Roman"/>
          <w:sz w:val="26"/>
          <w:szCs w:val="26"/>
        </w:rPr>
        <w:t>120</w:t>
      </w:r>
    </w:p>
    <w:p w:rsidR="002037BE" w:rsidRDefault="003C4B78">
      <w:pPr>
        <w:ind w:left="609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2037BE" w:rsidRDefault="003C4B78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2037BE" w:rsidRDefault="002037B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037BE" w:rsidRDefault="003C4B78">
      <w:pPr>
        <w:jc w:val="both"/>
        <w:rPr>
          <w:rFonts w:ascii="Times New Roman" w:hAnsi="Times New Roman"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 xml:space="preserve">бульвар Петрковский, 14, </w:t>
      </w:r>
      <w:r w:rsidR="00B906C4">
        <w:rPr>
          <w:rFonts w:ascii="Times New Roman" w:hAnsi="Times New Roman"/>
          <w:sz w:val="26"/>
          <w:szCs w:val="26"/>
        </w:rPr>
        <w:t xml:space="preserve">бульвар Петрковский, </w:t>
      </w:r>
      <w:r>
        <w:rPr>
          <w:rFonts w:ascii="Times New Roman" w:hAnsi="Times New Roman"/>
          <w:sz w:val="26"/>
          <w:szCs w:val="26"/>
        </w:rPr>
        <w:t>20.</w:t>
      </w:r>
    </w:p>
    <w:p w:rsidR="002037BE" w:rsidRDefault="003C4B78" w:rsidP="00B906C4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</w:t>
      </w:r>
      <w:r w:rsidR="00B906C4">
        <w:rPr>
          <w:rFonts w:ascii="Times New Roman" w:hAnsi="Times New Roman" w:cs="Times New Roman"/>
          <w:sz w:val="26"/>
          <w:szCs w:val="24"/>
        </w:rPr>
        <w:t>ями</w:t>
      </w:r>
      <w:r>
        <w:rPr>
          <w:rFonts w:ascii="Times New Roman" w:hAnsi="Times New Roman" w:cs="Times New Roman"/>
          <w:sz w:val="26"/>
          <w:szCs w:val="24"/>
        </w:rPr>
        <w:t xml:space="preserve"> к постановлению Главы города Костромы от</w:t>
      </w:r>
      <w:r w:rsidR="00B906C4">
        <w:rPr>
          <w:rFonts w:ascii="Times New Roman" w:hAnsi="Times New Roman" w:cs="Times New Roman"/>
          <w:sz w:val="26"/>
          <w:szCs w:val="24"/>
        </w:rPr>
        <w:t xml:space="preserve"> 16 ноября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2022 года № </w:t>
      </w:r>
      <w:r w:rsidR="00B906C4">
        <w:rPr>
          <w:rFonts w:ascii="Times New Roman" w:hAnsi="Times New Roman" w:cs="Times New Roman"/>
          <w:sz w:val="26"/>
          <w:szCs w:val="24"/>
          <w:highlight w:val="white"/>
        </w:rPr>
        <w:t>120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2037BE" w:rsidRDefault="003C4B78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7 декабря 2022 года с </w:t>
      </w:r>
      <w:r>
        <w:rPr>
          <w:rFonts w:ascii="Times New Roman" w:hAnsi="Times New Roman"/>
          <w:sz w:val="26"/>
          <w:szCs w:val="26"/>
          <w:highlight w:val="white"/>
        </w:rPr>
        <w:t>12.00 до 13.00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2037BE" w:rsidRDefault="003C4B7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 w:rsidRPr="00B906C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NoskovaVA</w:t>
        </w:r>
        <w:r w:rsidRPr="00B906C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@</w:t>
        </w:r>
        <w:r w:rsidRPr="00B906C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gradkostroma</w:t>
        </w:r>
        <w:r w:rsidRPr="00B906C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eastAsia="ru-RU"/>
          </w:rPr>
          <w:t>.</w:t>
        </w:r>
        <w:r w:rsidRPr="00B906C4">
          <w:rPr>
            <w:rStyle w:val="a9"/>
            <w:rFonts w:ascii="Times New Roman" w:hAnsi="Times New Roman" w:cs="Times New Roman"/>
            <w:color w:val="auto"/>
            <w:sz w:val="26"/>
            <w:szCs w:val="24"/>
            <w:u w:val="none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2037BE" w:rsidRDefault="003C4B78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</w:t>
      </w:r>
      <w:r w:rsidR="00B906C4">
        <w:rPr>
          <w:rFonts w:ascii="Times New Roman" w:hAnsi="Times New Roman" w:cs="Times New Roman"/>
          <w:sz w:val="26"/>
          <w:szCs w:val="26"/>
          <w:highlight w:val="white"/>
        </w:rPr>
        <w:t>28 ноября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по 7 декабря 2022 г. </w:t>
      </w:r>
      <w:r w:rsidR="00B906C4" w:rsidRPr="00B906C4">
        <w:rPr>
          <w:rFonts w:ascii="Times New Roman" w:hAnsi="Times New Roman" w:cs="Times New Roman"/>
          <w:sz w:val="26"/>
          <w:szCs w:val="26"/>
        </w:rPr>
        <w:t xml:space="preserve">с 9.00 до 13.00 и с 14.00 до 18.00 ежедневно в будние дни. Посещение экспозиции проекта, а также консультирование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проводится во вторник и четверг с 10.00 до 12.00 часов.</w:t>
      </w:r>
    </w:p>
    <w:p w:rsidR="002037BE" w:rsidRDefault="003C4B7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</w:t>
      </w:r>
      <w:r w:rsidR="004F12E8">
        <w:rPr>
          <w:rFonts w:ascii="Times New Roman" w:hAnsi="Times New Roman" w:cs="Times New Roman"/>
          <w:sz w:val="26"/>
          <w:szCs w:val="26"/>
          <w:lang w:eastAsia="ru-RU"/>
        </w:rPr>
        <w:t>им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размещаются на официальном сайте Администрации города Костромы в информационно-телекоммуникационной сети "Интернет" по адресу: gradkostroma.ru с    28 ноября 2022 года. </w:t>
      </w:r>
    </w:p>
    <w:p w:rsidR="002037BE" w:rsidRDefault="003C4B78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2037BE" w:rsidRDefault="003C4B78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2037BE" w:rsidRDefault="003C4B78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2037BE" w:rsidRDefault="003C4B78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28 ноября 2022 года по 7 декабря 2022 года;</w:t>
      </w:r>
    </w:p>
    <w:p w:rsidR="002037BE" w:rsidRDefault="003C4B78" w:rsidP="00B906C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схем, подлежащих рассмотрению на публичных слушаниях, </w:t>
      </w:r>
      <w:r w:rsidR="00B906C4" w:rsidRPr="00B906C4">
        <w:rPr>
          <w:rFonts w:ascii="Times New Roman" w:hAnsi="Times New Roman" w:cs="Times New Roman"/>
          <w:sz w:val="26"/>
          <w:szCs w:val="26"/>
          <w:lang w:eastAsia="ru-RU"/>
        </w:rPr>
        <w:t>с 28 ноября 2022 года по 7 декабря 2022 года</w:t>
      </w:r>
      <w:r w:rsidR="00B906C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906C4" w:rsidRPr="00B906C4">
        <w:rPr>
          <w:rFonts w:ascii="Times New Roman" w:hAnsi="Times New Roman" w:cs="Times New Roman"/>
          <w:sz w:val="26"/>
          <w:szCs w:val="26"/>
          <w:lang w:eastAsia="ru-RU"/>
        </w:rPr>
        <w:t>с 9.00 до 13.00 и с 14.00 до 18.00 ежедневно в будние дни</w:t>
      </w:r>
      <w:r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2037BE" w:rsidRDefault="003C4B78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037BE" w:rsidRDefault="002037BE">
      <w:pPr>
        <w:widowControl/>
        <w:ind w:firstLine="709"/>
        <w:jc w:val="both"/>
      </w:pPr>
    </w:p>
    <w:sectPr w:rsidR="002037BE">
      <w:pgSz w:w="11906" w:h="16838"/>
      <w:pgMar w:top="1134" w:right="567" w:bottom="1134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DE4" w:rsidRDefault="009D3DE4">
      <w:r>
        <w:separator/>
      </w:r>
    </w:p>
  </w:endnote>
  <w:endnote w:type="continuationSeparator" w:id="0">
    <w:p w:rsidR="009D3DE4" w:rsidRDefault="009D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DE4" w:rsidRDefault="009D3DE4">
      <w:r>
        <w:separator/>
      </w:r>
    </w:p>
  </w:footnote>
  <w:footnote w:type="continuationSeparator" w:id="0">
    <w:p w:rsidR="009D3DE4" w:rsidRDefault="009D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B01B9"/>
    <w:multiLevelType w:val="hybridMultilevel"/>
    <w:tmpl w:val="758636AC"/>
    <w:lvl w:ilvl="0" w:tplc="C982FF8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50E1A94">
      <w:start w:val="1"/>
      <w:numFmt w:val="lowerLetter"/>
      <w:lvlText w:val="%2."/>
      <w:lvlJc w:val="left"/>
      <w:pPr>
        <w:ind w:left="1590" w:hanging="360"/>
      </w:pPr>
    </w:lvl>
    <w:lvl w:ilvl="2" w:tplc="E5A0C752">
      <w:start w:val="1"/>
      <w:numFmt w:val="lowerRoman"/>
      <w:lvlText w:val="%3."/>
      <w:lvlJc w:val="right"/>
      <w:pPr>
        <w:ind w:left="2310" w:hanging="180"/>
      </w:pPr>
    </w:lvl>
    <w:lvl w:ilvl="3" w:tplc="464C1D36">
      <w:start w:val="1"/>
      <w:numFmt w:val="decimal"/>
      <w:lvlText w:val="%4."/>
      <w:lvlJc w:val="left"/>
      <w:pPr>
        <w:ind w:left="3030" w:hanging="360"/>
      </w:pPr>
    </w:lvl>
    <w:lvl w:ilvl="4" w:tplc="01766F04">
      <w:start w:val="1"/>
      <w:numFmt w:val="lowerLetter"/>
      <w:lvlText w:val="%5."/>
      <w:lvlJc w:val="left"/>
      <w:pPr>
        <w:ind w:left="3750" w:hanging="360"/>
      </w:pPr>
    </w:lvl>
    <w:lvl w:ilvl="5" w:tplc="56A69F5A">
      <w:start w:val="1"/>
      <w:numFmt w:val="lowerRoman"/>
      <w:lvlText w:val="%6."/>
      <w:lvlJc w:val="right"/>
      <w:pPr>
        <w:ind w:left="4470" w:hanging="180"/>
      </w:pPr>
    </w:lvl>
    <w:lvl w:ilvl="6" w:tplc="B2027C3E">
      <w:start w:val="1"/>
      <w:numFmt w:val="decimal"/>
      <w:lvlText w:val="%7."/>
      <w:lvlJc w:val="left"/>
      <w:pPr>
        <w:ind w:left="5190" w:hanging="360"/>
      </w:pPr>
    </w:lvl>
    <w:lvl w:ilvl="7" w:tplc="FC46A7C6">
      <w:start w:val="1"/>
      <w:numFmt w:val="lowerLetter"/>
      <w:lvlText w:val="%8."/>
      <w:lvlJc w:val="left"/>
      <w:pPr>
        <w:ind w:left="5910" w:hanging="360"/>
      </w:pPr>
    </w:lvl>
    <w:lvl w:ilvl="8" w:tplc="C240A434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1837CA7"/>
    <w:multiLevelType w:val="hybridMultilevel"/>
    <w:tmpl w:val="B9404BDC"/>
    <w:lvl w:ilvl="0" w:tplc="C9AC58F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0E8E97A">
      <w:start w:val="1"/>
      <w:numFmt w:val="lowerLetter"/>
      <w:lvlText w:val="%2."/>
      <w:lvlJc w:val="left"/>
      <w:pPr>
        <w:ind w:left="1590" w:hanging="360"/>
      </w:pPr>
    </w:lvl>
    <w:lvl w:ilvl="2" w:tplc="82AC753E">
      <w:start w:val="1"/>
      <w:numFmt w:val="lowerRoman"/>
      <w:lvlText w:val="%3."/>
      <w:lvlJc w:val="right"/>
      <w:pPr>
        <w:ind w:left="2310" w:hanging="180"/>
      </w:pPr>
    </w:lvl>
    <w:lvl w:ilvl="3" w:tplc="2786B172">
      <w:start w:val="1"/>
      <w:numFmt w:val="decimal"/>
      <w:lvlText w:val="%4."/>
      <w:lvlJc w:val="left"/>
      <w:pPr>
        <w:ind w:left="3030" w:hanging="360"/>
      </w:pPr>
    </w:lvl>
    <w:lvl w:ilvl="4" w:tplc="12ACBB68">
      <w:start w:val="1"/>
      <w:numFmt w:val="lowerLetter"/>
      <w:lvlText w:val="%5."/>
      <w:lvlJc w:val="left"/>
      <w:pPr>
        <w:ind w:left="3750" w:hanging="360"/>
      </w:pPr>
    </w:lvl>
    <w:lvl w:ilvl="5" w:tplc="387409D8">
      <w:start w:val="1"/>
      <w:numFmt w:val="lowerRoman"/>
      <w:lvlText w:val="%6."/>
      <w:lvlJc w:val="right"/>
      <w:pPr>
        <w:ind w:left="4470" w:hanging="180"/>
      </w:pPr>
    </w:lvl>
    <w:lvl w:ilvl="6" w:tplc="12468A4A">
      <w:start w:val="1"/>
      <w:numFmt w:val="decimal"/>
      <w:lvlText w:val="%7."/>
      <w:lvlJc w:val="left"/>
      <w:pPr>
        <w:ind w:left="5190" w:hanging="360"/>
      </w:pPr>
    </w:lvl>
    <w:lvl w:ilvl="7" w:tplc="BAB434FC">
      <w:start w:val="1"/>
      <w:numFmt w:val="lowerLetter"/>
      <w:lvlText w:val="%8."/>
      <w:lvlJc w:val="left"/>
      <w:pPr>
        <w:ind w:left="5910" w:hanging="360"/>
      </w:pPr>
    </w:lvl>
    <w:lvl w:ilvl="8" w:tplc="1A80DEAA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299A2C34"/>
    <w:multiLevelType w:val="hybridMultilevel"/>
    <w:tmpl w:val="2786C2C0"/>
    <w:lvl w:ilvl="0" w:tplc="D896895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2E28B40">
      <w:start w:val="1"/>
      <w:numFmt w:val="lowerLetter"/>
      <w:lvlText w:val="%2."/>
      <w:lvlJc w:val="left"/>
      <w:pPr>
        <w:ind w:left="1590" w:hanging="360"/>
      </w:pPr>
    </w:lvl>
    <w:lvl w:ilvl="2" w:tplc="BCDE028A">
      <w:start w:val="1"/>
      <w:numFmt w:val="lowerRoman"/>
      <w:lvlText w:val="%3."/>
      <w:lvlJc w:val="right"/>
      <w:pPr>
        <w:ind w:left="2310" w:hanging="180"/>
      </w:pPr>
    </w:lvl>
    <w:lvl w:ilvl="3" w:tplc="B020681C">
      <w:start w:val="1"/>
      <w:numFmt w:val="decimal"/>
      <w:lvlText w:val="%4."/>
      <w:lvlJc w:val="left"/>
      <w:pPr>
        <w:ind w:left="3030" w:hanging="360"/>
      </w:pPr>
    </w:lvl>
    <w:lvl w:ilvl="4" w:tplc="76E24D46">
      <w:start w:val="1"/>
      <w:numFmt w:val="lowerLetter"/>
      <w:lvlText w:val="%5."/>
      <w:lvlJc w:val="left"/>
      <w:pPr>
        <w:ind w:left="3750" w:hanging="360"/>
      </w:pPr>
    </w:lvl>
    <w:lvl w:ilvl="5" w:tplc="04408B28">
      <w:start w:val="1"/>
      <w:numFmt w:val="lowerRoman"/>
      <w:lvlText w:val="%6."/>
      <w:lvlJc w:val="right"/>
      <w:pPr>
        <w:ind w:left="4470" w:hanging="180"/>
      </w:pPr>
    </w:lvl>
    <w:lvl w:ilvl="6" w:tplc="1B5C0C06">
      <w:start w:val="1"/>
      <w:numFmt w:val="decimal"/>
      <w:lvlText w:val="%7."/>
      <w:lvlJc w:val="left"/>
      <w:pPr>
        <w:ind w:left="5190" w:hanging="360"/>
      </w:pPr>
    </w:lvl>
    <w:lvl w:ilvl="7" w:tplc="BDA876EC">
      <w:start w:val="1"/>
      <w:numFmt w:val="lowerLetter"/>
      <w:lvlText w:val="%8."/>
      <w:lvlJc w:val="left"/>
      <w:pPr>
        <w:ind w:left="5910" w:hanging="360"/>
      </w:pPr>
    </w:lvl>
    <w:lvl w:ilvl="8" w:tplc="B4BC415E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592701C"/>
    <w:multiLevelType w:val="hybridMultilevel"/>
    <w:tmpl w:val="73C48148"/>
    <w:lvl w:ilvl="0" w:tplc="243ED82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78DE614A">
      <w:start w:val="1"/>
      <w:numFmt w:val="lowerLetter"/>
      <w:lvlText w:val="%2."/>
      <w:lvlJc w:val="left"/>
      <w:pPr>
        <w:ind w:left="1590" w:hanging="360"/>
      </w:pPr>
    </w:lvl>
    <w:lvl w:ilvl="2" w:tplc="BD120738">
      <w:start w:val="1"/>
      <w:numFmt w:val="lowerRoman"/>
      <w:lvlText w:val="%3."/>
      <w:lvlJc w:val="right"/>
      <w:pPr>
        <w:ind w:left="2310" w:hanging="180"/>
      </w:pPr>
    </w:lvl>
    <w:lvl w:ilvl="3" w:tplc="638A3A16">
      <w:start w:val="1"/>
      <w:numFmt w:val="decimal"/>
      <w:lvlText w:val="%4."/>
      <w:lvlJc w:val="left"/>
      <w:pPr>
        <w:ind w:left="3030" w:hanging="360"/>
      </w:pPr>
    </w:lvl>
    <w:lvl w:ilvl="4" w:tplc="EBCC8D4C">
      <w:start w:val="1"/>
      <w:numFmt w:val="lowerLetter"/>
      <w:lvlText w:val="%5."/>
      <w:lvlJc w:val="left"/>
      <w:pPr>
        <w:ind w:left="3750" w:hanging="360"/>
      </w:pPr>
    </w:lvl>
    <w:lvl w:ilvl="5" w:tplc="192272A6">
      <w:start w:val="1"/>
      <w:numFmt w:val="lowerRoman"/>
      <w:lvlText w:val="%6."/>
      <w:lvlJc w:val="right"/>
      <w:pPr>
        <w:ind w:left="4470" w:hanging="180"/>
      </w:pPr>
    </w:lvl>
    <w:lvl w:ilvl="6" w:tplc="EBBE5BCA">
      <w:start w:val="1"/>
      <w:numFmt w:val="decimal"/>
      <w:lvlText w:val="%7."/>
      <w:lvlJc w:val="left"/>
      <w:pPr>
        <w:ind w:left="5190" w:hanging="360"/>
      </w:pPr>
    </w:lvl>
    <w:lvl w:ilvl="7" w:tplc="AA66ACA2">
      <w:start w:val="1"/>
      <w:numFmt w:val="lowerLetter"/>
      <w:lvlText w:val="%8."/>
      <w:lvlJc w:val="left"/>
      <w:pPr>
        <w:ind w:left="5910" w:hanging="360"/>
      </w:pPr>
    </w:lvl>
    <w:lvl w:ilvl="8" w:tplc="45FE7CC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BE"/>
    <w:rsid w:val="002037BE"/>
    <w:rsid w:val="003C4B78"/>
    <w:rsid w:val="004F12E8"/>
    <w:rsid w:val="0075702F"/>
    <w:rsid w:val="009D3DE4"/>
    <w:rsid w:val="00B906C4"/>
    <w:rsid w:val="00D3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32694-CBC1-433B-873B-6E638E73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90</cp:revision>
  <cp:lastPrinted>2022-11-16T10:15:00Z</cp:lastPrinted>
  <dcterms:created xsi:type="dcterms:W3CDTF">2021-10-29T14:45:00Z</dcterms:created>
  <dcterms:modified xsi:type="dcterms:W3CDTF">2022-11-16T11:13:00Z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